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9A3" w:rsidRDefault="005829A3" w:rsidP="000B0F5C">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5829A3" w:rsidRDefault="005829A3" w:rsidP="000B0F5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5829A3" w:rsidRDefault="005829A3" w:rsidP="000B0F5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829A3" w:rsidRDefault="005829A3" w:rsidP="000B0F5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B0F5C" w:rsidRPr="000B0F5C" w:rsidRDefault="000B0F5C" w:rsidP="005829A3">
      <w:pPr>
        <w:spacing w:after="0" w:line="480" w:lineRule="auto"/>
        <w:jc w:val="center"/>
        <w:rPr>
          <w:rFonts w:ascii="Times New Roman" w:hAnsi="Times New Roman" w:cs="Times New Roman"/>
          <w:sz w:val="24"/>
          <w:szCs w:val="24"/>
        </w:rPr>
      </w:pPr>
      <w:r w:rsidRPr="000B0F5C">
        <w:rPr>
          <w:rFonts w:ascii="Times New Roman" w:hAnsi="Times New Roman" w:cs="Times New Roman"/>
          <w:sz w:val="24"/>
          <w:szCs w:val="24"/>
        </w:rPr>
        <w:t>Shelby County v. Holder</w:t>
      </w:r>
    </w:p>
    <w:p w:rsidR="000B0F5C" w:rsidRPr="000B0F5C" w:rsidRDefault="000B0F5C" w:rsidP="000B0F5C">
      <w:pPr>
        <w:spacing w:after="0" w:line="480" w:lineRule="auto"/>
        <w:ind w:firstLine="720"/>
        <w:rPr>
          <w:rFonts w:ascii="Times New Roman" w:hAnsi="Times New Roman" w:cs="Times New Roman"/>
          <w:sz w:val="24"/>
          <w:szCs w:val="24"/>
        </w:rPr>
      </w:pPr>
      <w:r w:rsidRPr="000B0F5C">
        <w:rPr>
          <w:rFonts w:ascii="Times New Roman" w:hAnsi="Times New Roman" w:cs="Times New Roman"/>
          <w:sz w:val="24"/>
          <w:szCs w:val="24"/>
        </w:rPr>
        <w:t>In the past recent years, the constitutional provisions of the rights of the citizens to cast their vote and exercise their democratic responsibility have been threatened by constant changes in the voting process and policing. In the last midterm elections in 2018, it was clear that the civil rights are at risk, especially in the way the voting laws and regulations impacting the high voters of color. However, concerns raised during this election and others before are associated with the Supreme Court ruling in the case of Shelby County v. Holder. The ruling of this case invalidated the most crucial parts of the Voting Rights Act of 1965 that have since impacted the civil rights laws of the past decades.</w:t>
      </w:r>
    </w:p>
    <w:p w:rsidR="000B0F5C" w:rsidRPr="000B0F5C" w:rsidRDefault="000B0F5C" w:rsidP="000B0F5C">
      <w:pPr>
        <w:spacing w:after="0" w:line="480" w:lineRule="auto"/>
        <w:ind w:firstLine="720"/>
        <w:rPr>
          <w:rFonts w:ascii="Times New Roman" w:hAnsi="Times New Roman" w:cs="Times New Roman"/>
          <w:sz w:val="24"/>
          <w:szCs w:val="24"/>
        </w:rPr>
      </w:pPr>
      <w:r w:rsidRPr="000B0F5C">
        <w:rPr>
          <w:rFonts w:ascii="Times New Roman" w:hAnsi="Times New Roman" w:cs="Times New Roman"/>
          <w:sz w:val="24"/>
          <w:szCs w:val="24"/>
        </w:rPr>
        <w:t>The Voting Rights Act’s provision that relates to the preclearance is found in Section Five of the act that involves the coverage formula as described in Section 4 (b) of the Act. The coverage formula that was scraped out was initially designed to include the jurisdictions that have been witnessed in some of the past elections. The 15th Amendment Section one states that the right of citizens to vote shall not be infringed or denied by the federal or state government on account of race or color.</w:t>
      </w:r>
    </w:p>
    <w:p w:rsidR="000B0F5C" w:rsidRPr="005829A3" w:rsidRDefault="000B0F5C" w:rsidP="005829A3">
      <w:pPr>
        <w:spacing w:after="0" w:line="480" w:lineRule="auto"/>
        <w:rPr>
          <w:rFonts w:ascii="Times New Roman" w:hAnsi="Times New Roman" w:cs="Times New Roman"/>
          <w:b/>
          <w:sz w:val="24"/>
          <w:szCs w:val="24"/>
        </w:rPr>
      </w:pPr>
      <w:r w:rsidRPr="005829A3">
        <w:rPr>
          <w:rFonts w:ascii="Times New Roman" w:hAnsi="Times New Roman" w:cs="Times New Roman"/>
          <w:b/>
          <w:sz w:val="24"/>
          <w:szCs w:val="24"/>
        </w:rPr>
        <w:t>Argument for Preclearance</w:t>
      </w:r>
    </w:p>
    <w:p w:rsidR="000B0F5C" w:rsidRPr="000B0F5C" w:rsidRDefault="000B0F5C" w:rsidP="000B0F5C">
      <w:pPr>
        <w:spacing w:after="0" w:line="480" w:lineRule="auto"/>
        <w:ind w:firstLine="720"/>
        <w:rPr>
          <w:rFonts w:ascii="Times New Roman" w:hAnsi="Times New Roman" w:cs="Times New Roman"/>
          <w:sz w:val="24"/>
          <w:szCs w:val="24"/>
        </w:rPr>
      </w:pPr>
      <w:r w:rsidRPr="000B0F5C">
        <w:rPr>
          <w:rFonts w:ascii="Times New Roman" w:hAnsi="Times New Roman" w:cs="Times New Roman"/>
          <w:sz w:val="24"/>
          <w:szCs w:val="24"/>
        </w:rPr>
        <w:t xml:space="preserve">Proponents of the preclearance argument cited that Congress had enough evidence before it to continue supporting the coverage formula, which was responsible for the current needs. The dissenting opinion of the court written by Justice Ruth Bader Ginsburg maintained that </w:t>
      </w:r>
      <w:r w:rsidRPr="000B0F5C">
        <w:rPr>
          <w:rFonts w:ascii="Times New Roman" w:hAnsi="Times New Roman" w:cs="Times New Roman"/>
          <w:sz w:val="24"/>
          <w:szCs w:val="24"/>
        </w:rPr>
        <w:lastRenderedPageBreak/>
        <w:t>discrimination in the voting process has significantly reduced in the covered jurisdiction since the enactment of the Voting Rights Act, but it has also attributed to the decrease of the Act itself (Shelby County v. Holder 23). The dissenting views argued that throwing away the preclearance when it has been effective in stopping discrimination in voting is like doing away with the umbrella during a rainstorm (Shelby County v. Holder 23).</w:t>
      </w:r>
    </w:p>
    <w:p w:rsidR="000B0F5C" w:rsidRPr="005829A3" w:rsidRDefault="000B0F5C" w:rsidP="005829A3">
      <w:pPr>
        <w:spacing w:after="0" w:line="480" w:lineRule="auto"/>
        <w:rPr>
          <w:rFonts w:ascii="Times New Roman" w:hAnsi="Times New Roman" w:cs="Times New Roman"/>
          <w:b/>
          <w:sz w:val="24"/>
          <w:szCs w:val="24"/>
        </w:rPr>
      </w:pPr>
      <w:r w:rsidRPr="005829A3">
        <w:rPr>
          <w:rFonts w:ascii="Times New Roman" w:hAnsi="Times New Roman" w:cs="Times New Roman"/>
          <w:b/>
          <w:sz w:val="24"/>
          <w:szCs w:val="24"/>
        </w:rPr>
        <w:t>Arguments against Preclearance</w:t>
      </w:r>
    </w:p>
    <w:p w:rsidR="000B0F5C" w:rsidRPr="000B0F5C" w:rsidRDefault="000B0F5C" w:rsidP="000B0F5C">
      <w:pPr>
        <w:spacing w:after="0" w:line="480" w:lineRule="auto"/>
        <w:ind w:firstLine="720"/>
        <w:rPr>
          <w:rFonts w:ascii="Times New Roman" w:hAnsi="Times New Roman" w:cs="Times New Roman"/>
          <w:sz w:val="24"/>
          <w:szCs w:val="24"/>
        </w:rPr>
      </w:pPr>
      <w:r w:rsidRPr="000B0F5C">
        <w:rPr>
          <w:rFonts w:ascii="Times New Roman" w:hAnsi="Times New Roman" w:cs="Times New Roman"/>
          <w:sz w:val="24"/>
          <w:szCs w:val="24"/>
        </w:rPr>
        <w:t>The majority of the Supreme Court’s opinion argued that the section exceeded Congress’ power to implement and enforce the 14th and 15th Amendments. In their opinion, they argued that the coverage formula provisions were in conflict with the constitutional provisions of the Federalism because disparate treatment of the states was based on old facts that do not have any logical relationship with the current needs (Shelby County v. Holder . 14). The court, also, did not subject Section 4(b) to standard review, but it offered an advisory opinion that since the Section 5 preclearance applies to Section 4(b) coverage formula, it would be better if the Congress enacted a new coverage formula that would reflect the current needs.</w:t>
      </w:r>
    </w:p>
    <w:p w:rsidR="000B0F5C" w:rsidRPr="000B0F5C" w:rsidRDefault="000B0F5C" w:rsidP="000B0F5C">
      <w:pPr>
        <w:spacing w:after="0" w:line="480" w:lineRule="auto"/>
        <w:ind w:firstLine="720"/>
        <w:rPr>
          <w:rFonts w:ascii="Times New Roman" w:hAnsi="Times New Roman" w:cs="Times New Roman"/>
          <w:sz w:val="24"/>
          <w:szCs w:val="24"/>
        </w:rPr>
      </w:pPr>
      <w:r w:rsidRPr="000B0F5C">
        <w:rPr>
          <w:rFonts w:ascii="Times New Roman" w:hAnsi="Times New Roman" w:cs="Times New Roman"/>
          <w:sz w:val="24"/>
          <w:szCs w:val="24"/>
        </w:rPr>
        <w:t xml:space="preserve">Based on the 2018 midterm election, I don’t think that the federal government should have the power of preclearance relating to election laws because it reduces voter turnout and also denies voters the right to exercise their democratic rights. According to Ross, the Shelby County v. Holder case removed the provisions of the law that defined which states fell under the preclearance and since then, efforts to keep people from voting have significantly increased (3). The Shelby case has eliminated some provisions that were important to political parties to win the elections. For example, from the 2018 midterm elections, one thing that came out clear was that the right to vote is a partisan issue (Ross 4). The preclearance suppression has become a critical tactic that the Republicans used to win elections over their counterparts, Democrats. The </w:t>
      </w:r>
      <w:r w:rsidRPr="000B0F5C">
        <w:rPr>
          <w:rFonts w:ascii="Times New Roman" w:hAnsi="Times New Roman" w:cs="Times New Roman"/>
          <w:sz w:val="24"/>
          <w:szCs w:val="24"/>
        </w:rPr>
        <w:lastRenderedPageBreak/>
        <w:t>introduction of voter ID significantly influenced the election because it restrained the right for people in the Democrats’ strongholds; thus, giving the Republicans the free pass to take more seats in the midterm primaries. However, lawmakers who have benefited from the preclearance suppression have cited that the restrictions are not discriminatory (Lockart 33). In pursuant to the above position, I would join the civil rights group to help increase awareness on the restrictive election laws or take a legal process to challenge these restrictive laws in the court of law.</w:t>
      </w: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5829A3" w:rsidRDefault="005829A3" w:rsidP="005829A3">
      <w:pPr>
        <w:spacing w:after="0" w:line="480" w:lineRule="auto"/>
        <w:rPr>
          <w:rFonts w:ascii="Times New Roman" w:hAnsi="Times New Roman" w:cs="Times New Roman"/>
          <w:sz w:val="24"/>
          <w:szCs w:val="24"/>
        </w:rPr>
      </w:pPr>
    </w:p>
    <w:p w:rsidR="000B0F5C" w:rsidRPr="000B0F5C" w:rsidRDefault="000B0F5C" w:rsidP="005829A3">
      <w:pPr>
        <w:spacing w:after="0" w:line="480" w:lineRule="auto"/>
        <w:jc w:val="center"/>
        <w:rPr>
          <w:rFonts w:ascii="Times New Roman" w:hAnsi="Times New Roman" w:cs="Times New Roman"/>
          <w:sz w:val="24"/>
          <w:szCs w:val="24"/>
        </w:rPr>
      </w:pPr>
      <w:r w:rsidRPr="000B0F5C">
        <w:rPr>
          <w:rFonts w:ascii="Times New Roman" w:hAnsi="Times New Roman" w:cs="Times New Roman"/>
          <w:sz w:val="24"/>
          <w:szCs w:val="24"/>
        </w:rPr>
        <w:lastRenderedPageBreak/>
        <w:t>Works Cited</w:t>
      </w:r>
    </w:p>
    <w:p w:rsidR="000B0F5C" w:rsidRPr="005829A3" w:rsidRDefault="000B0F5C" w:rsidP="005829A3">
      <w:pPr>
        <w:spacing w:after="0" w:line="480" w:lineRule="auto"/>
        <w:ind w:left="720" w:hanging="720"/>
        <w:rPr>
          <w:rFonts w:ascii="Times New Roman" w:hAnsi="Times New Roman" w:cs="Times New Roman"/>
          <w:sz w:val="24"/>
          <w:szCs w:val="24"/>
        </w:rPr>
      </w:pPr>
      <w:r w:rsidRPr="005829A3">
        <w:rPr>
          <w:rFonts w:ascii="Times New Roman" w:hAnsi="Times New Roman" w:cs="Times New Roman"/>
          <w:sz w:val="24"/>
          <w:szCs w:val="24"/>
        </w:rPr>
        <w:t xml:space="preserve">Lockhart, P. R. How Shelby County v. Holder upended Voting Rights in America. </w:t>
      </w:r>
      <w:r w:rsidRPr="005829A3">
        <w:rPr>
          <w:rFonts w:ascii="Times New Roman" w:hAnsi="Times New Roman" w:cs="Times New Roman"/>
          <w:i/>
          <w:sz w:val="24"/>
          <w:szCs w:val="24"/>
        </w:rPr>
        <w:t>Vox,</w:t>
      </w:r>
      <w:r w:rsidRPr="005829A3">
        <w:rPr>
          <w:rFonts w:ascii="Times New Roman" w:hAnsi="Times New Roman" w:cs="Times New Roman"/>
          <w:sz w:val="24"/>
          <w:szCs w:val="24"/>
        </w:rPr>
        <w:t xml:space="preserve"> June 25, 2019. Accessed October 30, 2019. </w:t>
      </w:r>
      <w:hyperlink r:id="rId6" w:history="1">
        <w:r w:rsidRPr="005829A3">
          <w:rPr>
            <w:rStyle w:val="Hyperlink"/>
            <w:rFonts w:ascii="Times New Roman" w:hAnsi="Times New Roman" w:cs="Times New Roman"/>
            <w:color w:val="auto"/>
            <w:sz w:val="24"/>
            <w:szCs w:val="24"/>
            <w:u w:val="none"/>
          </w:rPr>
          <w:t>https://www.vox.com/policy-and-politics/2019/6/25/18701277/shelby-county-v-holder-anniversary-voting-rights-suppression-congress</w:t>
        </w:r>
      </w:hyperlink>
    </w:p>
    <w:p w:rsidR="000B0F5C" w:rsidRPr="005829A3" w:rsidRDefault="000B0F5C" w:rsidP="005829A3">
      <w:pPr>
        <w:spacing w:after="0" w:line="480" w:lineRule="auto"/>
        <w:ind w:left="720" w:hanging="720"/>
        <w:rPr>
          <w:rFonts w:ascii="Times New Roman" w:hAnsi="Times New Roman" w:cs="Times New Roman"/>
          <w:sz w:val="24"/>
          <w:szCs w:val="24"/>
        </w:rPr>
      </w:pPr>
      <w:r w:rsidRPr="005829A3">
        <w:rPr>
          <w:rFonts w:ascii="Times New Roman" w:hAnsi="Times New Roman" w:cs="Times New Roman"/>
          <w:sz w:val="24"/>
          <w:szCs w:val="24"/>
        </w:rPr>
        <w:t xml:space="preserve">Ross, Janell. “It’s Time for a New Voting Rights Act. </w:t>
      </w:r>
      <w:r w:rsidRPr="005829A3">
        <w:rPr>
          <w:rFonts w:ascii="Times New Roman" w:hAnsi="Times New Roman" w:cs="Times New Roman"/>
          <w:i/>
          <w:sz w:val="24"/>
          <w:szCs w:val="24"/>
        </w:rPr>
        <w:t>The New Republic,</w:t>
      </w:r>
      <w:r w:rsidRPr="005829A3">
        <w:rPr>
          <w:rFonts w:ascii="Times New Roman" w:hAnsi="Times New Roman" w:cs="Times New Roman"/>
          <w:sz w:val="24"/>
          <w:szCs w:val="24"/>
        </w:rPr>
        <w:t xml:space="preserve"> November 13, 2018. Accessed October 30, 2019. </w:t>
      </w:r>
      <w:hyperlink r:id="rId7" w:history="1">
        <w:r w:rsidRPr="005829A3">
          <w:rPr>
            <w:rStyle w:val="Hyperlink"/>
            <w:rFonts w:ascii="Times New Roman" w:hAnsi="Times New Roman" w:cs="Times New Roman"/>
            <w:color w:val="auto"/>
            <w:sz w:val="24"/>
            <w:szCs w:val="24"/>
            <w:u w:val="none"/>
          </w:rPr>
          <w:t>https://newrepublic.com/article/152182/its-time-new-voting-rights-act</w:t>
        </w:r>
      </w:hyperlink>
    </w:p>
    <w:p w:rsidR="000B0F5C" w:rsidRPr="005829A3" w:rsidRDefault="000B0F5C" w:rsidP="005829A3">
      <w:pPr>
        <w:spacing w:after="0" w:line="480" w:lineRule="auto"/>
        <w:ind w:left="720" w:hanging="720"/>
        <w:rPr>
          <w:rFonts w:ascii="Times New Roman" w:hAnsi="Times New Roman" w:cs="Times New Roman"/>
          <w:sz w:val="24"/>
          <w:szCs w:val="24"/>
        </w:rPr>
      </w:pPr>
      <w:r w:rsidRPr="005829A3">
        <w:rPr>
          <w:rFonts w:ascii="Times New Roman" w:hAnsi="Times New Roman" w:cs="Times New Roman"/>
          <w:i/>
          <w:sz w:val="24"/>
          <w:szCs w:val="24"/>
        </w:rPr>
        <w:t>Shelby County v. Holder</w:t>
      </w:r>
      <w:r w:rsidRPr="005829A3">
        <w:rPr>
          <w:rFonts w:ascii="Times New Roman" w:hAnsi="Times New Roman" w:cs="Times New Roman"/>
          <w:sz w:val="24"/>
          <w:szCs w:val="24"/>
        </w:rPr>
        <w:t xml:space="preserve">, 570 U.S. 2 (2013). Accessed October 30, 2019. </w:t>
      </w:r>
      <w:hyperlink r:id="rId8" w:history="1">
        <w:r w:rsidRPr="005829A3">
          <w:rPr>
            <w:rStyle w:val="Hyperlink"/>
            <w:rFonts w:ascii="Times New Roman" w:hAnsi="Times New Roman" w:cs="Times New Roman"/>
            <w:color w:val="auto"/>
            <w:sz w:val="24"/>
            <w:szCs w:val="24"/>
            <w:u w:val="none"/>
          </w:rPr>
          <w:t>https://www.supremecourt.gov/opinions/12pdf/12-96_6k47.pdf</w:t>
        </w:r>
      </w:hyperlink>
    </w:p>
    <w:p w:rsidR="006106ED" w:rsidRPr="005829A3" w:rsidRDefault="006106ED" w:rsidP="005829A3">
      <w:pPr>
        <w:spacing w:after="0" w:line="480" w:lineRule="auto"/>
        <w:ind w:left="720" w:hanging="720"/>
        <w:rPr>
          <w:rFonts w:ascii="Times New Roman" w:hAnsi="Times New Roman" w:cs="Times New Roman"/>
          <w:sz w:val="24"/>
          <w:szCs w:val="24"/>
        </w:rPr>
      </w:pPr>
    </w:p>
    <w:sectPr w:rsidR="006106ED" w:rsidRPr="005829A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F01" w:rsidRDefault="00127F01" w:rsidP="000B0F5C">
      <w:pPr>
        <w:spacing w:after="0" w:line="240" w:lineRule="auto"/>
      </w:pPr>
      <w:r>
        <w:separator/>
      </w:r>
    </w:p>
  </w:endnote>
  <w:endnote w:type="continuationSeparator" w:id="0">
    <w:p w:rsidR="00127F01" w:rsidRDefault="00127F01" w:rsidP="000B0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F01" w:rsidRDefault="00127F01" w:rsidP="000B0F5C">
      <w:pPr>
        <w:spacing w:after="0" w:line="240" w:lineRule="auto"/>
      </w:pPr>
      <w:r>
        <w:separator/>
      </w:r>
    </w:p>
  </w:footnote>
  <w:footnote w:type="continuationSeparator" w:id="0">
    <w:p w:rsidR="00127F01" w:rsidRDefault="00127F01" w:rsidP="000B0F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5C" w:rsidRPr="000B0F5C" w:rsidRDefault="000B0F5C" w:rsidP="000B0F5C">
    <w:pPr>
      <w:pStyle w:val="Header"/>
      <w:jc w:val="right"/>
      <w:rPr>
        <w:rFonts w:ascii="Times New Roman" w:hAnsi="Times New Roman" w:cs="Times New Roman"/>
        <w:sz w:val="24"/>
        <w:szCs w:val="24"/>
      </w:rPr>
    </w:pPr>
    <w:r w:rsidRPr="000B0F5C">
      <w:rPr>
        <w:rFonts w:ascii="Times New Roman" w:hAnsi="Times New Roman" w:cs="Times New Roman"/>
        <w:sz w:val="24"/>
        <w:szCs w:val="24"/>
      </w:rPr>
      <w:t xml:space="preserve">Last Name </w:t>
    </w:r>
    <w:r w:rsidRPr="000B0F5C">
      <w:rPr>
        <w:rFonts w:ascii="Times New Roman" w:hAnsi="Times New Roman" w:cs="Times New Roman"/>
        <w:sz w:val="24"/>
        <w:szCs w:val="24"/>
      </w:rPr>
      <w:fldChar w:fldCharType="begin"/>
    </w:r>
    <w:r w:rsidRPr="000B0F5C">
      <w:rPr>
        <w:rFonts w:ascii="Times New Roman" w:hAnsi="Times New Roman" w:cs="Times New Roman"/>
        <w:sz w:val="24"/>
        <w:szCs w:val="24"/>
      </w:rPr>
      <w:instrText xml:space="preserve"> PAGE   \* MERGEFORMAT </w:instrText>
    </w:r>
    <w:r w:rsidRPr="000B0F5C">
      <w:rPr>
        <w:rFonts w:ascii="Times New Roman" w:hAnsi="Times New Roman" w:cs="Times New Roman"/>
        <w:sz w:val="24"/>
        <w:szCs w:val="24"/>
      </w:rPr>
      <w:fldChar w:fldCharType="separate"/>
    </w:r>
    <w:r w:rsidR="005C710A">
      <w:rPr>
        <w:rFonts w:ascii="Times New Roman" w:hAnsi="Times New Roman" w:cs="Times New Roman"/>
        <w:noProof/>
        <w:sz w:val="24"/>
        <w:szCs w:val="24"/>
      </w:rPr>
      <w:t>2</w:t>
    </w:r>
    <w:r w:rsidRPr="000B0F5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2CF"/>
    <w:rsid w:val="000B0F5C"/>
    <w:rsid w:val="00127F01"/>
    <w:rsid w:val="004A14F9"/>
    <w:rsid w:val="005829A3"/>
    <w:rsid w:val="005C710A"/>
    <w:rsid w:val="005D300C"/>
    <w:rsid w:val="005F22CF"/>
    <w:rsid w:val="006106ED"/>
    <w:rsid w:val="008F191A"/>
    <w:rsid w:val="009107C1"/>
    <w:rsid w:val="00BD3CE1"/>
    <w:rsid w:val="00D04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201D32-CBB5-48E0-BB68-0BE2ED4E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0F5C"/>
    <w:rPr>
      <w:color w:val="0000FF"/>
      <w:u w:val="single"/>
    </w:rPr>
  </w:style>
  <w:style w:type="paragraph" w:styleId="Header">
    <w:name w:val="header"/>
    <w:basedOn w:val="Normal"/>
    <w:link w:val="HeaderChar"/>
    <w:uiPriority w:val="99"/>
    <w:unhideWhenUsed/>
    <w:rsid w:val="000B0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F5C"/>
  </w:style>
  <w:style w:type="paragraph" w:styleId="Footer">
    <w:name w:val="footer"/>
    <w:basedOn w:val="Normal"/>
    <w:link w:val="FooterChar"/>
    <w:uiPriority w:val="99"/>
    <w:unhideWhenUsed/>
    <w:rsid w:val="000B0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premecourt.gov/opinions/12pdf/12-96_6k47.pdf" TargetMode="External"/><Relationship Id="rId3" Type="http://schemas.openxmlformats.org/officeDocument/2006/relationships/webSettings" Target="webSettings.xml"/><Relationship Id="rId7" Type="http://schemas.openxmlformats.org/officeDocument/2006/relationships/hyperlink" Target="https://newrepublic.com/article/152182/its-time-new-voting-rights-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ox.com/policy-and-politics/2019/6/25/18701277/shelby-county-v-holder-anniversary-voting-rights-suppression-congre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2019-10-30T11:48:00Z</dcterms:created>
  <dcterms:modified xsi:type="dcterms:W3CDTF">2019-10-30T11:48:00Z</dcterms:modified>
</cp:coreProperties>
</file>